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Zwischenstand und Entwicklungsprotokoll</w:t>
      </w:r>
    </w:p>
    <w:p>
      <w:pPr>
        <w:pStyle w:val="Subtitle"/>
      </w:pPr>
      <w:r>
        <w:t>Blended Learning in der Rettungssanitäterqualifizierung</w:t>
      </w:r>
    </w:p>
    <w:p>
      <w:pPr>
        <w:pStyle w:val="Subtitle"/>
      </w:pPr>
      <w:r>
        <w:t>Orientierung  Übungsmodul  Vertiefende Lernstrecken</w:t>
      </w:r>
    </w:p>
    <w:p>
      <w:r>
        <w:t>Adressaten: Lehrkräfte und pädagogisch Verantwortliche an Rettungsdienstschulen</w:t>
        <w:br/>
        <w:t>Projektstand: V1.2 vom 06.10.2026</w:t>
        <w:br/>
        <w:t>Konzeption und didaktische Entwicklung: Sebastian Sachs</w:t>
      </w:r>
    </w:p>
    <w:p>
      <w:pPr>
        <w:pStyle w:val="Heading2"/>
      </w:pPr>
      <w:r>
        <w:t>Zweck und Kernaussage</w:t>
      </w:r>
    </w:p>
    <w:p>
      <w:r>
        <w:t>Dieses Protokoll erläutert Zielsetzung, pädagogische Entscheidungen und Entwicklungsverlauf eines exemplarischen digitalen Selbstlernangebots. Es zeigt, wie Lehrkräfte das Angebot mit dem Präsenzunterricht verbinden können, welche Funktionen im Stand V1.2 vorgesehen und umgesetzt sind und welche Prüfungen vor einer Veröffentlichung und schulischen Erprobung noch ausstehen.</w:t>
      </w:r>
    </w:p>
    <w:p>
      <w:r>
        <w:t>Der zentrale Entwicklungsschritt ist die Trennung von Orientierung, angeleiteter Erprobung des Lernformats und freiwilliger fachlicher Vertiefung. Aus einer umfangreichen Einzeldatei wurde ein Paket mit drei miteinander verlinkten HTML-Seiten entwickelt. Die bestehenden Einsatzsituationen und beiden Lernstrecken bleiben die fachliche Grundlage. Eine dritte Lernstrecke verbindet diese Inhalte als Lückentext mit freien Texteingaben.</w:t>
      </w:r>
    </w:p>
    <w:p>
      <w:r>
        <w:t>V1.2 ist ein didaktisch begründeter Demonstrator. Die dokumentierten technischen Teilprüfungen ersetzen weder einen vollständigen Funktionstest noch die fachliche Freigabe und Erprobung mit Lernenden. Die Integration in die veröffentlichte Ausbildungsseite ist als nächster Arbeitsschritt geplant; ein neuer Netlify-Deploy wurde in diesem Entwicklungsschritt nicht durchgeführt.</w:t>
      </w:r>
    </w:p>
    <w:p>
      <w:pPr>
        <w:pStyle w:val="Heading2"/>
      </w:pPr>
      <w:r>
        <w:t>Leseführung</w:t>
      </w:r>
    </w:p>
    <w:p>
      <w:r>
        <w:t>Die folgenden Kapitel führen vom Projektauftrag und der einheitlichen Terminologie über den Entwicklungsverlauf zur aktuellen Lernarchitektur. Anschließend folgen der pädagogische Begründungsrahmen, die Auswertungslogik, Hinweise für den Unterricht und ein konkreter Prüf- und Veröffentlichungsplan. Das abschließende Quellenverzeichnis unterscheidet Projektdokumentation und pädagogische Literatur.</w:t>
      </w:r>
    </w:p>
    <w:p>
      <w:r>
        <w:t>Dokumentkennung des HTML-Pakets: NSA-BL-RS-UEB-2026-10-V1.2</w:t>
        <w:br/>
        <w:t>Protokollstand: 06.10.2026</w:t>
        <w:br/>
        <w:t>© 2026 Sebastian Sachs. Alle Rechte vorbehalten.</w:t>
      </w:r>
    </w:p>
    <w:p>
      <w:r>
        <w:br w:type="page"/>
      </w:r>
    </w:p>
    <w:p>
      <w:pPr>
        <w:pStyle w:val="Heading1"/>
      </w:pPr>
      <w:r>
        <w:t>1 Projektauftrag und einheitliche Terminologie</w:t>
      </w:r>
    </w:p>
    <w:p>
      <w:pPr>
        <w:pStyle w:val="Heading2"/>
      </w:pPr>
      <w:r>
        <w:t>Ziel und fachlicher Rahmen</w:t>
      </w:r>
    </w:p>
    <w:p>
      <w:r>
        <w:t>Das Projekt soll Lernende mit der Arbeitsweise einer Selbstlernphase vertraut machen und Lehrkräften ein anschauliches Beispiel für deren Einbindung in ein Blended-Learning-Konzept geben. Die Lernenden greifen auf bereits behandeltes Wissen zu Atemwegen, Atmung und Kreislauf zurück. Sie ordnen Beobachtungen ein, treffen Entscheidungen, vergleichen ihre Antworten mit Rückmeldungen und halten offene Fragen fest.</w:t>
      </w:r>
    </w:p>
    <w:p>
      <w:r>
        <w:t>Das Angebot richtet sich in seiner vorliegenden Ausgestaltung an die Rettungssanitäterqualifizierung. Eine Übertragung auf andere Bildungsgänge an Rettungsdienstschulen erfordert eine erneute Prüfung von Lernzielen, Vorwissen, Anspruchsniveau und curricularer Einordnung. Eine solche Übertragung ist nicht Bestandteil des dokumentierten Entwicklungsstands.</w:t>
      </w:r>
    </w:p>
    <w:tbl>
      <w:tblPr>
        <w:tblW w:type="auto" w:w="0"/>
        <w:tblLayout w:type="fixed"/>
        <w:tblLook w:firstColumn="1" w:firstRow="1" w:lastColumn="0" w:lastRow="0" w:noHBand="0" w:noVBand="1" w:val="04A0"/>
      </w:tblPr>
      <w:tblGrid>
        <w:gridCol w:w="2324"/>
        <w:gridCol w:w="7087"/>
      </w:tblGrid>
      <w:tr>
        <w:trPr>
          <w:cantSplit/>
          <w:tblHeader/>
        </w:trPr>
        <w:tc>
          <w:tcPr>
            <w:tcW w:type="dxa" w:w="2324"/>
            <w:tcBorders>
              <w:top w:val="single" w:sz="4" w:color="D9D9D9"/>
              <w:left w:val="single" w:sz="4" w:color="D9D9D9"/>
              <w:bottom w:val="single" w:sz="4" w:color="D9D9D9"/>
              <w:right w:val="single" w:sz="4" w:color="D9D9D9"/>
            </w:tcBorders>
            <w:shd w:fill="DCE6EC"/>
            <w:tcMar>
              <w:top w:w="100" w:type="dxa"/>
              <w:left w:w="100" w:type="dxa"/>
              <w:bottom w:w="100" w:type="dxa"/>
              <w:right w:w="100" w:type="dxa"/>
            </w:tcMar>
          </w:tcPr>
          <w:p>
            <w:pPr>
              <w:spacing w:after="60" w:line="252" w:lineRule="auto"/>
            </w:pPr>
            <w:r>
              <w:rPr>
                <w:b/>
                <w:sz w:val="20"/>
              </w:rPr>
              <w:t>Begriff</w:t>
            </w:r>
          </w:p>
        </w:tc>
        <w:tc>
          <w:tcPr>
            <w:tcW w:type="dxa" w:w="7087"/>
            <w:tcBorders>
              <w:top w:val="single" w:sz="4" w:color="D9D9D9"/>
              <w:left w:val="single" w:sz="4" w:color="D9D9D9"/>
              <w:bottom w:val="single" w:sz="4" w:color="D9D9D9"/>
              <w:right w:val="single" w:sz="4" w:color="D9D9D9"/>
            </w:tcBorders>
            <w:shd w:fill="DCE6EC"/>
            <w:tcMar>
              <w:top w:w="100" w:type="dxa"/>
              <w:left w:w="100" w:type="dxa"/>
              <w:bottom w:w="100" w:type="dxa"/>
              <w:right w:w="100" w:type="dxa"/>
            </w:tcMar>
          </w:tcPr>
          <w:p>
            <w:pPr>
              <w:spacing w:after="60" w:line="252" w:lineRule="auto"/>
            </w:pPr>
            <w:r>
              <w:rPr>
                <w:b/>
                <w:sz w:val="20"/>
              </w:rPr>
              <w:t>Verwendung im Projekt</w:t>
            </w:r>
          </w:p>
        </w:tc>
      </w:tr>
      <w:tr>
        <w:trPr>
          <w:cantSplit/>
        </w:trPr>
        <w:tc>
          <w:tcPr>
            <w:tcW w:type="dxa" w:w="2324"/>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Blended Learning</w:t>
            </w:r>
          </w:p>
        </w:tc>
        <w:tc>
          <w:tcPr>
            <w:tcW w:type="dxa" w:w="7087"/>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Didaktisch geplante Verbindung von Präsenzunterricht und digital unterstützten Selbstlernphasen.</w:t>
            </w:r>
          </w:p>
        </w:tc>
      </w:tr>
      <w:tr>
        <w:trPr>
          <w:cantSplit/>
        </w:trPr>
        <w:tc>
          <w:tcPr>
            <w:tcW w:type="dxa" w:w="2324"/>
            <w:tcBorders>
              <w:top w:val="single" w:sz="4" w:color="D9D9D9"/>
              <w:left w:val="single" w:sz="4" w:color="D9D9D9"/>
              <w:bottom w:val="single" w:sz="4" w:color="D9D9D9"/>
              <w:right w:val="single" w:sz="4" w:color="D9D9D9"/>
            </w:tcBorders>
            <w:shd w:fill="F5F7F8"/>
            <w:tcMar>
              <w:top w:w="100" w:type="dxa"/>
              <w:left w:w="100" w:type="dxa"/>
              <w:bottom w:w="100" w:type="dxa"/>
              <w:right w:w="100" w:type="dxa"/>
            </w:tcMar>
          </w:tcPr>
          <w:p>
            <w:pPr>
              <w:spacing w:after="60" w:line="252" w:lineRule="auto"/>
            </w:pPr>
            <w:r>
              <w:rPr>
                <w:b w:val="0"/>
                <w:sz w:val="20"/>
              </w:rPr>
              <w:t>Selbstlernphase</w:t>
            </w:r>
          </w:p>
        </w:tc>
        <w:tc>
          <w:tcPr>
            <w:tcW w:type="dxa" w:w="7087"/>
            <w:tcBorders>
              <w:top w:val="single" w:sz="4" w:color="D9D9D9"/>
              <w:left w:val="single" w:sz="4" w:color="D9D9D9"/>
              <w:bottom w:val="single" w:sz="4" w:color="D9D9D9"/>
              <w:right w:val="single" w:sz="4" w:color="D9D9D9"/>
            </w:tcBorders>
            <w:shd w:fill="F5F7F8"/>
            <w:tcMar>
              <w:top w:w="100" w:type="dxa"/>
              <w:left w:w="100" w:type="dxa"/>
              <w:bottom w:w="100" w:type="dxa"/>
              <w:right w:w="100" w:type="dxa"/>
            </w:tcMar>
          </w:tcPr>
          <w:p>
            <w:pPr>
              <w:spacing w:after="60" w:line="252" w:lineRule="auto"/>
            </w:pPr>
            <w:r>
              <w:rPr>
                <w:b w:val="0"/>
                <w:sz w:val="20"/>
              </w:rPr>
              <w:t>Übergeordnete Lernphase, in der Lernende Aufgaben eigenständig bearbeiten und Ergebnisse für die Weiterarbeit nutzen.</w:t>
            </w:r>
          </w:p>
        </w:tc>
      </w:tr>
      <w:tr>
        <w:trPr>
          <w:cantSplit/>
        </w:trPr>
        <w:tc>
          <w:tcPr>
            <w:tcW w:type="dxa" w:w="2324"/>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Orientierungsseite</w:t>
            </w:r>
          </w:p>
        </w:tc>
        <w:tc>
          <w:tcPr>
            <w:tcW w:type="dxa" w:w="7087"/>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Einstieg, der Ziel, Ablauf und Nutzung des Angebots erklärt.</w:t>
            </w:r>
          </w:p>
        </w:tc>
      </w:tr>
      <w:tr>
        <w:trPr>
          <w:cantSplit/>
        </w:trPr>
        <w:tc>
          <w:tcPr>
            <w:tcW w:type="dxa" w:w="2324"/>
            <w:tcBorders>
              <w:top w:val="single" w:sz="4" w:color="D9D9D9"/>
              <w:left w:val="single" w:sz="4" w:color="D9D9D9"/>
              <w:bottom w:val="single" w:sz="4" w:color="D9D9D9"/>
              <w:right w:val="single" w:sz="4" w:color="D9D9D9"/>
            </w:tcBorders>
            <w:shd w:fill="F5F7F8"/>
            <w:tcMar>
              <w:top w:w="100" w:type="dxa"/>
              <w:left w:w="100" w:type="dxa"/>
              <w:bottom w:w="100" w:type="dxa"/>
              <w:right w:w="100" w:type="dxa"/>
            </w:tcMar>
          </w:tcPr>
          <w:p>
            <w:pPr>
              <w:spacing w:after="60" w:line="252" w:lineRule="auto"/>
            </w:pPr>
            <w:r>
              <w:rPr>
                <w:b w:val="0"/>
                <w:sz w:val="20"/>
              </w:rPr>
              <w:t>Übungsmodul</w:t>
            </w:r>
          </w:p>
        </w:tc>
        <w:tc>
          <w:tcPr>
            <w:tcW w:type="dxa" w:w="7087"/>
            <w:tcBorders>
              <w:top w:val="single" w:sz="4" w:color="D9D9D9"/>
              <w:left w:val="single" w:sz="4" w:color="D9D9D9"/>
              <w:bottom w:val="single" w:sz="4" w:color="D9D9D9"/>
              <w:right w:val="single" w:sz="4" w:color="D9D9D9"/>
            </w:tcBorders>
            <w:shd w:fill="F5F7F8"/>
            <w:tcMar>
              <w:top w:w="100" w:type="dxa"/>
              <w:left w:w="100" w:type="dxa"/>
              <w:bottom w:w="100" w:type="dxa"/>
              <w:right w:w="100" w:type="dxa"/>
            </w:tcMar>
          </w:tcPr>
          <w:p>
            <w:pPr>
              <w:spacing w:after="60" w:line="252" w:lineRule="auto"/>
            </w:pPr>
            <w:r>
              <w:rPr>
                <w:b w:val="0"/>
                <w:sz w:val="20"/>
              </w:rPr>
              <w:t>Eigenständiges Familiarisierungsmodul mit Beispiel und Aufgaben 1 bis 3. Familiarisierung bedeutet hier das praktische Kennenlernen des Lernformats.</w:t>
            </w:r>
          </w:p>
        </w:tc>
      </w:tr>
      <w:tr>
        <w:trPr>
          <w:cantSplit/>
        </w:trPr>
        <w:tc>
          <w:tcPr>
            <w:tcW w:type="dxa" w:w="2324"/>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Lernstrecke</w:t>
            </w:r>
          </w:p>
        </w:tc>
        <w:tc>
          <w:tcPr>
            <w:tcW w:type="dxa" w:w="7087"/>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Thematisch zusammenhängende Aufgabenfolge innerhalb der freiwilligen Vertiefung.</w:t>
            </w:r>
          </w:p>
        </w:tc>
      </w:tr>
      <w:tr>
        <w:trPr>
          <w:cantSplit/>
        </w:trPr>
        <w:tc>
          <w:tcPr>
            <w:tcW w:type="dxa" w:w="2324"/>
            <w:tcBorders>
              <w:top w:val="single" w:sz="4" w:color="D9D9D9"/>
              <w:left w:val="single" w:sz="4" w:color="D9D9D9"/>
              <w:bottom w:val="single" w:sz="4" w:color="D9D9D9"/>
              <w:right w:val="single" w:sz="4" w:color="D9D9D9"/>
            </w:tcBorders>
            <w:shd w:fill="F5F7F8"/>
            <w:tcMar>
              <w:top w:w="100" w:type="dxa"/>
              <w:left w:w="100" w:type="dxa"/>
              <w:bottom w:w="100" w:type="dxa"/>
              <w:right w:w="100" w:type="dxa"/>
            </w:tcMar>
          </w:tcPr>
          <w:p>
            <w:pPr>
              <w:spacing w:after="60" w:line="252" w:lineRule="auto"/>
            </w:pPr>
            <w:r>
              <w:rPr>
                <w:b w:val="0"/>
                <w:sz w:val="20"/>
              </w:rPr>
              <w:t>Formative Rückmeldung</w:t>
            </w:r>
          </w:p>
        </w:tc>
        <w:tc>
          <w:tcPr>
            <w:tcW w:type="dxa" w:w="7087"/>
            <w:tcBorders>
              <w:top w:val="single" w:sz="4" w:color="D9D9D9"/>
              <w:left w:val="single" w:sz="4" w:color="D9D9D9"/>
              <w:bottom w:val="single" w:sz="4" w:color="D9D9D9"/>
              <w:right w:val="single" w:sz="4" w:color="D9D9D9"/>
            </w:tcBorders>
            <w:shd w:fill="F5F7F8"/>
            <w:tcMar>
              <w:top w:w="100" w:type="dxa"/>
              <w:left w:w="100" w:type="dxa"/>
              <w:bottom w:w="100" w:type="dxa"/>
              <w:right w:w="100" w:type="dxa"/>
            </w:tcMar>
          </w:tcPr>
          <w:p>
            <w:pPr>
              <w:spacing w:after="60" w:line="252" w:lineRule="auto"/>
            </w:pPr>
            <w:r>
              <w:rPr>
                <w:b w:val="0"/>
                <w:sz w:val="20"/>
              </w:rPr>
              <w:t>Lernunterstützende Information zum Weiterlernen. Sie ist keine Benotung oder abschließende Kompetenzfeststellung.</w:t>
            </w:r>
          </w:p>
        </w:tc>
      </w:tr>
      <w:tr>
        <w:trPr>
          <w:cantSplit/>
        </w:trPr>
        <w:tc>
          <w:tcPr>
            <w:tcW w:type="dxa" w:w="2324"/>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Lernnotiz</w:t>
            </w:r>
          </w:p>
        </w:tc>
        <w:tc>
          <w:tcPr>
            <w:tcW w:type="dxa" w:w="7087"/>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Kurze eigene Zusammenfassung von Beobachtungen, Erkenntnissen oder Fragen. Sie wird nicht automatisch bewertet.</w:t>
            </w:r>
          </w:p>
        </w:tc>
      </w:tr>
    </w:tbl>
    <w:p>
      <w:pPr>
        <w:pStyle w:val="Heading2"/>
      </w:pPr>
      <w:r>
        <w:t>Sprachliche und fachliche Konsistenz</w:t>
      </w:r>
    </w:p>
    <w:p>
      <w:r>
        <w:t>Die Lernenden werden im HTML-Angebot konsequent mit „du“ angesprochen. Im vorliegenden Protokoll werden die Bezeichnungen „Lernende“ und „Lehrkräfte“ verwendet. „Atemweg“ bezeichnet die luftleitenden Strukturen, „Atmung“ den weiter gefassten Funktionszusammenhang; ein freier Atemweg wird deshalb nicht mit ausreichender Atmung gleichgesetzt. Deutsche Bezeichnungen und gebräuchliche anatomische Fachbegriffe werden eindeutig zugeordnet, etwa Herzkammer und Ventrikel sowie Lungenbläschen und Alveolen.</w:t>
      </w:r>
    </w:p>
    <w:p>
      <w:r>
        <w:br w:type="page"/>
      </w:r>
    </w:p>
    <w:p>
      <w:pPr>
        <w:pStyle w:val="Heading1"/>
      </w:pPr>
      <w:r>
        <w:t>2 Entwicklung vom Einzelmodul zur Version 1 2</w:t>
      </w:r>
    </w:p>
    <w:p>
      <w:pPr>
        <w:pStyle w:val="Heading2"/>
      </w:pPr>
      <w:r>
        <w:t>Ausgangsstand und Erweiterung</w:t>
      </w:r>
    </w:p>
    <w:p>
      <w:r>
        <w:t>Die ursprüngliche Arbeitsfassung vereinte Einführung, didaktischen Erwartungshorizont, ein gelöstes Beispiel, drei Einsatzsituationen und Lernnotizen auf einer Seite. In der Gesprächsdokumentation wird V1.0 vom 04.10.2026 als archivierter Ausgangsstand genannt. Die für die Weiterentwicklung maßgebliche V1.1 trägt das Datum 06.10.2026.</w:t>
      </w:r>
    </w:p>
    <w:p>
      <w:r>
        <w:t>V1.1 ergänzte zwei sequenzielle Lernstrecken. Im fachlich-didaktischen Entwurf wurden zunächst 18 Schritte diskutiert. Nach Überarbeitung verblieben sechs Entscheidungen zu Atemwegen und Gasaustausch sowie neun Entscheidungen zu Herz, Lunge und Körperkreislauf. Redundante Schritte wurden reduziert; falsche Antwortalternativen sollten typische Verwechslungen abbilden. Die Auswertung ordnet Antworten regelbasiert in inhaltliche Fehlerkategorien ein.</w:t>
      </w:r>
    </w:p>
    <w:p>
      <w:pPr>
        <w:pStyle w:val="Heading2"/>
      </w:pPr>
      <w:r>
        <w:t>Korrektur der Startmechanismen</w:t>
      </w:r>
    </w:p>
    <w:p>
      <w:r>
        <w:t>Bei der Nutzung der V1.1 waren die Lernstrecken zunächst nicht zugänglich. Daraufhin wurden ausdrückliche Startschaltflächen ergänzt. Lernstrecke 2 wurde in diesem Stand erst nach Abschluss von Lernstrecke 1 freigeschaltet. Der Nutzer bestätigte anschließend, dass die überarbeitete Fassung funktionierte. Diese Rückmeldung bezieht sich auf die damalige V1.1 und darf nicht als Abnahme aller Funktionen der späteren V1.2 verstanden werden.</w:t>
      </w:r>
    </w:p>
    <w:p>
      <w:pPr>
        <w:pStyle w:val="Heading2"/>
      </w:pPr>
      <w:r>
        <w:t>Anlass für die strukturelle Überarbeitung</w:t>
      </w:r>
    </w:p>
    <w:p>
      <w:r>
        <w:t>Mit der Erweiterung wirkte die Einzeldatei zunehmend überladen. Orientierung zum Lernformat, dessen praktische Erprobung und fachliche Vertiefung waren nicht mehr klar voneinander abgegrenzt. Die nächste Entscheidung zielte daher auf eine funktionale Aufteilung in drei Seiten. Das Übungsmodul sollte einen eigenen Abschluss erhalten; die Vertiefung sollte anschließend ausdrücklich freiwillig sein.</w:t>
      </w:r>
    </w:p>
    <w:p>
      <w:pPr>
        <w:pStyle w:val="Heading2"/>
      </w:pPr>
      <w:r>
        <w:t>Festgelegte Änderungen in V1 2</w:t>
      </w:r>
    </w:p>
    <w:p>
      <w:r>
        <w:t>V1.2 setzt die Dreiteilung um und bietet die Lernstrecken unabhängig voneinander zur Auswahl an. Die bisherige Abhängigkeit von Lernstrecke 2 entfällt. Als zusätzliche Variante wurde ein Lückentext aus den vorhandenen Inhalten entwickelt. Die Autoren- und Rechtehinweise sowie Versionsangaben wurden im Paket auf V1.2 und den 06.10.2026 bezogen; die Quelldatei V1.1 wurde nicht überschrieben.</w:t>
      </w:r>
    </w:p>
    <w:p>
      <w:r>
        <w:t>Zusätzlich wurde die Rückmeldelogik der Fallaufgaben vereinheitlicht. Die V1.1 enthielt noch eine unmittelbare farbliche Richtig-Falsch-Markierung, während die ausführlichen Rückmeldungen verborgen blieben. V1.2 sammelt zunächst die Antworten und zeigt die fachliche Auswertung nach Aufgabe 3. Dies ist eine zusätzliche Verhaltensänderung neben der Seitenaufteilung und bei der Erprobung ausdrücklich zu berücksichtigen.</w:t>
      </w:r>
    </w:p>
    <w:p>
      <w:r>
        <w:br w:type="page"/>
      </w:r>
    </w:p>
    <w:p>
      <w:pPr>
        <w:pStyle w:val="Heading1"/>
      </w:pPr>
      <w:r>
        <w:t>3 Aufbau und Lernweg in der Version 1 2</w:t>
      </w:r>
    </w:p>
    <w:tbl>
      <w:tblPr>
        <w:tblW w:type="auto" w:w="0"/>
        <w:tblLayout w:type="fixed"/>
        <w:tblLook w:firstColumn="1" w:firstRow="1" w:lastColumn="0" w:lastRow="0" w:noHBand="0" w:noVBand="1" w:val="04A0"/>
      </w:tblPr>
      <w:tblGrid>
        <w:gridCol w:w="1644"/>
        <w:gridCol w:w="2494"/>
        <w:gridCol w:w="5272"/>
      </w:tblGrid>
      <w:tr>
        <w:trPr>
          <w:cantSplit/>
          <w:tblHeader/>
        </w:trPr>
        <w:tc>
          <w:tcPr>
            <w:tcW w:type="dxa" w:w="1644"/>
            <w:tcBorders>
              <w:top w:val="single" w:sz="4" w:color="D9D9D9"/>
              <w:left w:val="single" w:sz="4" w:color="D9D9D9"/>
              <w:bottom w:val="single" w:sz="4" w:color="D9D9D9"/>
              <w:right w:val="single" w:sz="4" w:color="D9D9D9"/>
            </w:tcBorders>
            <w:shd w:fill="DCE6EC"/>
            <w:tcMar>
              <w:top w:w="100" w:type="dxa"/>
              <w:left w:w="100" w:type="dxa"/>
              <w:bottom w:w="100" w:type="dxa"/>
              <w:right w:w="100" w:type="dxa"/>
            </w:tcMar>
          </w:tcPr>
          <w:p>
            <w:pPr>
              <w:spacing w:after="60" w:line="252" w:lineRule="auto"/>
            </w:pPr>
            <w:r>
              <w:rPr>
                <w:b/>
                <w:sz w:val="20"/>
              </w:rPr>
              <w:t>Seite</w:t>
            </w:r>
          </w:p>
        </w:tc>
        <w:tc>
          <w:tcPr>
            <w:tcW w:type="dxa" w:w="2494"/>
            <w:tcBorders>
              <w:top w:val="single" w:sz="4" w:color="D9D9D9"/>
              <w:left w:val="single" w:sz="4" w:color="D9D9D9"/>
              <w:bottom w:val="single" w:sz="4" w:color="D9D9D9"/>
              <w:right w:val="single" w:sz="4" w:color="D9D9D9"/>
            </w:tcBorders>
            <w:shd w:fill="DCE6EC"/>
            <w:tcMar>
              <w:top w:w="100" w:type="dxa"/>
              <w:left w:w="100" w:type="dxa"/>
              <w:bottom w:w="100" w:type="dxa"/>
              <w:right w:w="100" w:type="dxa"/>
            </w:tcMar>
          </w:tcPr>
          <w:p>
            <w:pPr>
              <w:spacing w:after="60" w:line="252" w:lineRule="auto"/>
            </w:pPr>
            <w:r>
              <w:rPr>
                <w:b/>
                <w:sz w:val="20"/>
              </w:rPr>
              <w:t>Didaktische Funktion</w:t>
            </w:r>
          </w:p>
        </w:tc>
        <w:tc>
          <w:tcPr>
            <w:tcW w:type="dxa" w:w="5272"/>
            <w:tcBorders>
              <w:top w:val="single" w:sz="4" w:color="D9D9D9"/>
              <w:left w:val="single" w:sz="4" w:color="D9D9D9"/>
              <w:bottom w:val="single" w:sz="4" w:color="D9D9D9"/>
              <w:right w:val="single" w:sz="4" w:color="D9D9D9"/>
            </w:tcBorders>
            <w:shd w:fill="DCE6EC"/>
            <w:tcMar>
              <w:top w:w="100" w:type="dxa"/>
              <w:left w:w="100" w:type="dxa"/>
              <w:bottom w:w="100" w:type="dxa"/>
              <w:right w:w="100" w:type="dxa"/>
            </w:tcMar>
          </w:tcPr>
          <w:p>
            <w:pPr>
              <w:spacing w:after="60" w:line="252" w:lineRule="auto"/>
            </w:pPr>
            <w:r>
              <w:rPr>
                <w:b/>
                <w:sz w:val="20"/>
              </w:rPr>
              <w:t>Inhalt und Übergang</w:t>
            </w:r>
          </w:p>
        </w:tc>
      </w:tr>
      <w:tr>
        <w:trPr>
          <w:cantSplit/>
        </w:trPr>
        <w:tc>
          <w:tcPr>
            <w:tcW w:type="dxa" w:w="1644"/>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1 Orientierung</w:t>
            </w:r>
          </w:p>
        </w:tc>
        <w:tc>
          <w:tcPr>
            <w:tcW w:type="dxa" w:w="2494"/>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Verstehen des Lernformats</w:t>
            </w:r>
          </w:p>
        </w:tc>
        <w:tc>
          <w:tcPr>
            <w:tcW w:type="dxa" w:w="5272"/>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Ziel und Ablauf der Selbstlernphase, Lernziele, aufklappbarer Erwartungshorizont für Lehrkräfte; Einstieg in das Übungsmodul.</w:t>
            </w:r>
          </w:p>
        </w:tc>
      </w:tr>
      <w:tr>
        <w:trPr>
          <w:cantSplit/>
        </w:trPr>
        <w:tc>
          <w:tcPr>
            <w:tcW w:type="dxa" w:w="1644"/>
            <w:tcBorders>
              <w:top w:val="single" w:sz="4" w:color="D9D9D9"/>
              <w:left w:val="single" w:sz="4" w:color="D9D9D9"/>
              <w:bottom w:val="single" w:sz="4" w:color="D9D9D9"/>
              <w:right w:val="single" w:sz="4" w:color="D9D9D9"/>
            </w:tcBorders>
            <w:shd w:fill="F5F7F8"/>
            <w:tcMar>
              <w:top w:w="100" w:type="dxa"/>
              <w:left w:w="100" w:type="dxa"/>
              <w:bottom w:w="100" w:type="dxa"/>
              <w:right w:w="100" w:type="dxa"/>
            </w:tcMar>
          </w:tcPr>
          <w:p>
            <w:pPr>
              <w:spacing w:after="60" w:line="252" w:lineRule="auto"/>
            </w:pPr>
            <w:r>
              <w:rPr>
                <w:b w:val="0"/>
                <w:sz w:val="20"/>
              </w:rPr>
              <w:t>2 Übungsmodul</w:t>
            </w:r>
          </w:p>
        </w:tc>
        <w:tc>
          <w:tcPr>
            <w:tcW w:type="dxa" w:w="2494"/>
            <w:tcBorders>
              <w:top w:val="single" w:sz="4" w:color="D9D9D9"/>
              <w:left w:val="single" w:sz="4" w:color="D9D9D9"/>
              <w:bottom w:val="single" w:sz="4" w:color="D9D9D9"/>
              <w:right w:val="single" w:sz="4" w:color="D9D9D9"/>
            </w:tcBorders>
            <w:shd w:fill="F5F7F8"/>
            <w:tcMar>
              <w:top w:w="100" w:type="dxa"/>
              <w:left w:w="100" w:type="dxa"/>
              <w:bottom w:w="100" w:type="dxa"/>
              <w:right w:w="100" w:type="dxa"/>
            </w:tcMar>
          </w:tcPr>
          <w:p>
            <w:pPr>
              <w:spacing w:after="60" w:line="252" w:lineRule="auto"/>
            </w:pPr>
            <w:r>
              <w:rPr>
                <w:b w:val="0"/>
                <w:sz w:val="20"/>
              </w:rPr>
              <w:t>Praktische Familiarisierung</w:t>
            </w:r>
          </w:p>
        </w:tc>
        <w:tc>
          <w:tcPr>
            <w:tcW w:type="dxa" w:w="5272"/>
            <w:tcBorders>
              <w:top w:val="single" w:sz="4" w:color="D9D9D9"/>
              <w:left w:val="single" w:sz="4" w:color="D9D9D9"/>
              <w:bottom w:val="single" w:sz="4" w:color="D9D9D9"/>
              <w:right w:val="single" w:sz="4" w:color="D9D9D9"/>
            </w:tcBorders>
            <w:shd w:fill="F5F7F8"/>
            <w:tcMar>
              <w:top w:w="100" w:type="dxa"/>
              <w:left w:w="100" w:type="dxa"/>
              <w:bottom w:w="100" w:type="dxa"/>
              <w:right w:w="100" w:type="dxa"/>
            </w:tcMar>
          </w:tcPr>
          <w:p>
            <w:pPr>
              <w:spacing w:after="60" w:line="252" w:lineRule="auto"/>
            </w:pPr>
            <w:r>
              <w:rPr>
                <w:b w:val="0"/>
                <w:sz w:val="20"/>
              </w:rPr>
              <w:t>Gelöstes Beispiel und drei Einsatzsituationen mit Antwortauswahl und Lernnotizen; gemeinsame Abschlussauswertung; freiwilliger Übergang zur Vertiefung.</w:t>
            </w:r>
          </w:p>
        </w:tc>
      </w:tr>
      <w:tr>
        <w:trPr>
          <w:cantSplit/>
        </w:trPr>
        <w:tc>
          <w:tcPr>
            <w:tcW w:type="dxa" w:w="1644"/>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3 Vertiefung</w:t>
            </w:r>
          </w:p>
        </w:tc>
        <w:tc>
          <w:tcPr>
            <w:tcW w:type="dxa" w:w="2494"/>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Fachwissen anwenden und prüfen</w:t>
            </w:r>
          </w:p>
        </w:tc>
        <w:tc>
          <w:tcPr>
            <w:tcW w:type="dxa" w:w="5272"/>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Auswahl zwischen drei unabhängigen Lernstrecken; Bearbeitung und Auswertung innerhalb derselben Seite; Rückkehr zur Auswahl.</w:t>
            </w:r>
          </w:p>
        </w:tc>
      </w:tr>
    </w:tbl>
    <w:p>
      <w:pPr>
        <w:pStyle w:val="Heading2"/>
      </w:pPr>
      <w:r>
        <w:t>Orientierung vor der Bearbeitung</w:t>
      </w:r>
    </w:p>
    <w:p>
      <w:r>
        <w:t>Die erste Seite beantwortet, was Lernende erwartet und wie die Selbstlernphase mit dem Unterricht zusammenhängt. Der didaktische Erwartungshorizont ist aufklappbar, damit zusätzliche Informationen für Lehrkräfte die erste Orientierung nicht dominieren. Die sichtbare Lernschleife lautet: Einsatzsituation, Aufgabe, Rückmeldung, Lernnotiz und Wiederaufnahme im Präsenzunterricht.</w:t>
      </w:r>
    </w:p>
    <w:p>
      <w:pPr>
        <w:pStyle w:val="Heading2"/>
      </w:pPr>
      <w:r>
        <w:t>Erkennbarer Abschluss der Familiarisierung</w:t>
      </w:r>
    </w:p>
    <w:p>
      <w:r>
        <w:t>Auf Seite 2 bearbeiten Lernende zuerst ein erläutertes Beispiel und anschließend die drei vorhandenen Fallaufgaben. Aufgabe 1 behandelt erschwerte Atmung, Aufgabe 2 einen möglicherweise beeinträchtigten beziehungsweise gefährdeten Atemweg und Aufgabe 3 eine unzureichende Atmung trotz freien Atemwegs. Die Aufgaben werden nacheinander freigegeben. Antworten werden zunächst intern erfasst; die Lernnotizen bleiben ohne automatische Bewertung.</w:t>
      </w:r>
    </w:p>
    <w:p>
      <w:r>
        <w:t>Nach Aufgabe 3 erscheint die Abschlussauswertung. Lernende können ihre Entscheidungen mit den fachlichen Erläuterungen vergleichen und ihre Notizen ergänzen. Erst danach führt eine freiwillige Schaltfläche zu den Lernstrecken. Damit hat das Kennenlernen des Formats einen erkennbaren Endpunkt und wird nicht stillschweigend zu einem längeren Fachmodul erweitert.</w:t>
      </w:r>
    </w:p>
    <w:p>
      <w:pPr>
        <w:pStyle w:val="Heading2"/>
      </w:pPr>
      <w:r>
        <w:t>Wahlfreiheit innerhalb der Vertiefung</w:t>
      </w:r>
    </w:p>
    <w:p>
      <w:r>
        <w:t>Auf Seite 3 werden drei Angebote sichtbar voneinander abgegrenzt. Die Auswahl öffnet jeweils eine Lernstrecke. Die Rückkehr zur Auswahl erhält die Bearbeitung innerhalb dieser geöffneten Seite. Ein Wechsel auf eine andere HTML-Seite oder ein Neuladen bietet dagegen keine verlässliche Fortsetzung; eine dauerhafte Speicherung ist nicht implementiert.</w:t>
      </w:r>
    </w:p>
    <w:p>
      <w:r>
        <w:t>Die Lernstrecken sind technisch unabhängig startbar. Didaktisch kann die Lehrkraft dennoch eine Reihenfolge empfehlen, etwa zunächst die beiden Auswahlformate und anschließend den verbindenden Lückentext. Eine solche Empfehlung ist eine Unterrichtsentscheidung und keine technische Zugangssperre.</w:t>
      </w:r>
    </w:p>
    <w:p>
      <w:r>
        <w:br w:type="page"/>
      </w:r>
    </w:p>
    <w:p>
      <w:pPr>
        <w:pStyle w:val="Heading1"/>
      </w:pPr>
      <w:r>
        <w:t>4 Aufgabenformate und fachliche Kontinuität</w:t>
      </w:r>
    </w:p>
    <w:p>
      <w:pPr>
        <w:pStyle w:val="Heading2"/>
      </w:pPr>
      <w:r>
        <w:t>Lernstrecke 1 Atemwege und Gasaustausch</w:t>
      </w:r>
    </w:p>
    <w:p>
      <w:r>
        <w:t>Sechs Entscheidungen verfolgen den Weg der Atemluft vom Rachen über Kehlkopf und Luftröhre in das Bronchialsystem bis zu den Alveolen. Die weiteren Entscheidungen betreffen Ort und Richtung des Gasaustauschs sowie den Abfluss des sauerstoffangereicherten Blutes über die Lungenvenen. Pro Schritt wird eine von drei Fortsetzungen ausgewählt. Die richtige Fortsetzung wird erst am Ende der Lernstrecke aufgelöst.</w:t>
      </w:r>
    </w:p>
    <w:p>
      <w:pPr>
        <w:pStyle w:val="Heading2"/>
      </w:pPr>
      <w:r>
        <w:t>Lernstrecke 2 Herz Lunge und Körperkreislauf</w:t>
      </w:r>
    </w:p>
    <w:p>
      <w:r>
        <w:t>Neun Entscheidungen begleiten einen Erythrozyten vom rechten Ventrikel durch Lungen- und Körperkreislauf zurück zum Ausgangspunkt. Die Fragen verknüpfen Herzhöhlen, Herzklappen, Gefäßverläufe und Gasaustausch. Fragen und Antwortalternativen werden aus V1.1 übernommen. Die abschließende Rückmeldung nennt richtige Entscheidungen, inhaltliche Prüfschwerpunkte und die vollständigen richtigen Fortsetzungen.</w:t>
      </w:r>
    </w:p>
    <w:p>
      <w:pPr>
        <w:pStyle w:val="Heading2"/>
      </w:pPr>
      <w:r>
        <w:t>Lernstrecke 3 Zusammenhänge als Lückentext</w:t>
      </w:r>
    </w:p>
    <w:p>
      <w:r>
        <w:t>Die neue Lernstrecke verbindet die beiden vorhandenen Inhaltsbereiche in vier Textabschnitten mit insgesamt 18 Lücken. Der erste Abschnitt beschreibt die Atemwege bis zu den Alveolen. Der zweite verbindet den pulmonalen Gasaustausch mit Lungenvenen und linkem Herzen. Der dritte führt über den Ausstrom des linken Herzens in das Körpergewebe. Der vierte beschreibt den venösen Rückstrom über das rechte Herz zur Lunge und den erneuten pulmonalen Gasaustausch.</w:t>
      </w:r>
    </w:p>
    <w:p>
      <w:r>
        <w:t>Die Texteingaben verlangen Begriffe statt Auswahlentscheidungen. Groß- und Kleinschreibung sowie äußere Leerzeichen bleiben unberücksichtigt. Hinterlegte gleichbedeutende Bezeichnungen werden akzeptiert, beispielsweise Lungenbläschen und Alveolen. Die Begriffsprüfung bildet nur die ausdrücklich hinterlegten Lösungen ab; sie ist keine offene sprachliche oder fachliche Interpretation beliebiger Formulierungen.</w:t>
      </w:r>
    </w:p>
    <w:p>
      <w:pPr>
        <w:pStyle w:val="Heading2"/>
      </w:pPr>
      <w:r>
        <w:t>Zwei Antwortformate in drei Lernstrecken</w:t>
      </w:r>
    </w:p>
    <w:p>
      <w:r>
        <w:t>Die drei Lernstrecken demonstrieren zwei Antwortformate: Auswahl einer vorgegebenen Fortsetzung und freie Eingabe eines Begriffs. Lernstrecken 1 und 2 unterscheiden sich in Thema und Prozessperspektive, nicht im grundlegenden Interaktionsformat. Der Lückentext ergänzt den Abruf ohne sichtbare Antwortalternativen; Satzbau und Kontext geben jedoch weiterhin Hinweise. Es handelt sich deshalb um einen gelenkten Begriffsabruf und nicht um eine vollständig freie Erklärung des Gesamtprozesses.</w:t>
      </w:r>
    </w:p>
    <w:p>
      <w:r>
        <w:t>Die Erweiterung erschließt keine neuen fachlichen Themen. Sie ordnet vorhandene Inhalte zu einer zusammenhängenden Prozessbeschreibung. Die fachliche Freigabe sollte dennoch auch diese Neukombination prüfen, insbesondere Übergänge, Eindeutigkeit der Lücken und Gleichwertigkeit zugelassener Begriffe.</w:t>
      </w:r>
    </w:p>
    <w:p>
      <w:r>
        <w:br w:type="page"/>
      </w:r>
    </w:p>
    <w:p>
      <w:pPr>
        <w:pStyle w:val="Heading1"/>
      </w:pPr>
      <w:r>
        <w:t>5 Pädagogischer Begründungsrahmen</w:t>
      </w:r>
    </w:p>
    <w:p>
      <w:pPr>
        <w:pStyle w:val="Heading2"/>
      </w:pPr>
      <w:r>
        <w:t>Lernziele Aufgaben und Rückmeldungen aufeinander beziehen</w:t>
      </w:r>
    </w:p>
    <w:p>
      <w:r>
        <w:t>Die Aufgaben sollen sichtbar machen, was Lernende mit vorhandenem Wissen tun können: Beobachtungen zusammenführen, anatomische und physiologische Abläufe rekonstruieren und Unsicherheiten benennen. Für jedes Lernziel sollte die Lehrkraft prüfen, ob das Aufgabenformat die beabsichtigte Leistung tatsächlich erfordert. Das Erkennen einer richtigen Alternative ist beispielsweise noch kein Nachweis, einen Zusammenhang selbstständig erklären oder eine praktische Maßnahme ausführen zu können.</w:t>
      </w:r>
    </w:p>
    <w:p>
      <w:pPr>
        <w:pStyle w:val="Heading2"/>
      </w:pPr>
      <w:r>
        <w:t>Orientierung und Segmentierung</w:t>
      </w:r>
    </w:p>
    <w:p>
      <w:r>
        <w:t>Die Trennung der drei Seiten folgt unterschiedlichen Lernfunktionen. Lernende müssen zu Beginn nicht zugleich das Format verstehen, Fälle bearbeiten und zusätzliche Vertiefungen überblicken. Das Segmentierungsprinzip beschreibt Vorteile selbstgesteuert bearbeitbarer Abschnitte in multimedialen Lernangeboten [1]. Die Übertragung auf die vorliegende Seitenstruktur ist eine begründete Gestaltungsannahme; eine direkte Wirksamkeitsprüfung dieser HTML-Fassung liegt nicht vor.</w:t>
      </w:r>
    </w:p>
    <w:p>
      <w:pPr>
        <w:pStyle w:val="Heading2"/>
      </w:pPr>
      <w:r>
        <w:t>Aktiver Abruf und Anwendung vorhandenen Wissens</w:t>
      </w:r>
    </w:p>
    <w:p>
      <w:r>
        <w:t>Abrufübungen können das Lernen unterstützen. Eine systematische Übersicht berichtet entsprechende Vorteile in schulischen und unterrichtsnahen Untersuchungen [2]. Im Projekt fordert die Auswahl einer Fortsetzung das Wiedererkennen und Unterscheiden plausibler Alternativen. Der Lückentext verlangt zusätzlich die eigenständige Produktion eines Begriffs. Daraus folgt nicht, dass der Lückentext für jedes Lernziel grundsätzlich überlegen wäre. Beide Formate müssen zum Vorwissen und zum beabsichtigten Lernergebnis passen.</w:t>
      </w:r>
    </w:p>
    <w:p>
      <w:pPr>
        <w:pStyle w:val="Heading2"/>
      </w:pPr>
      <w:r>
        <w:t>Formative Nutzung und Selbstregulation</w:t>
      </w:r>
    </w:p>
    <w:p>
      <w:r>
        <w:t>Die Auswertung soll eine nächste Lernhandlung ermöglichen: eine Abfolge erneut nachvollziehen, eine Verwechslung prüfen oder eine Frage für den Unterricht formulieren. Nicol und Macfarlane-Dick verknüpfen formative Rückmeldung mit Selbstbeurteilung und selbstreguliertem Lernen [3]. Auf das Projekt übertragen bedeutet dies, dass ein Ergebnis erst dann lernpraktisch nutzbar wird, wenn Lernende es verstehen und daraus eine konkrete Weiterarbeit ableiten.</w:t>
      </w:r>
    </w:p>
    <w:p>
      <w:pPr>
        <w:pStyle w:val="Heading2"/>
      </w:pPr>
      <w:r>
        <w:t>Fallbezug und Grenzen des Transfers</w:t>
      </w:r>
    </w:p>
    <w:p>
      <w:r>
        <w:t>Die kurzen Einsatzsituationen geben dem fachlichen Wissen einen anschaulichen Anwendungskontext. Sie fordern vor allem das Einordnen beschriebener Beobachtungen. Die digitale Bearbeitung ist keine Einsatzsimulation und keine praktische Kompetenzprüfung. Praktische Fertigkeiten bleiben Gegenstand angeleiteter Übungen im Präsenzunterricht sowie der jeweils vorgesehenen praktischen Ausbildungsabschnitte.</w:t>
      </w:r>
    </w:p>
    <w:p>
      <w:r>
        <w:t>Der pädagogische Mehrwert entsteht aus der Verbindung der Lernorte und Lernhandlungen. Das Bereitstellen von HTML-Dateien allein begründet noch kein wirksames Blended Learning. Entscheidend ist, ob Ergebnisse der Selbstlernphase die anschließende gemeinsame Arbeit tatsächlich beeinflussen.</w:t>
      </w:r>
    </w:p>
    <w:p>
      <w:r>
        <w:br w:type="page"/>
      </w:r>
    </w:p>
    <w:p>
      <w:pPr>
        <w:pStyle w:val="Heading1"/>
      </w:pPr>
      <w:r>
        <w:t>6 Rückmeldungen und Grenzen der Auswertung</w:t>
      </w:r>
    </w:p>
    <w:p>
      <w:pPr>
        <w:pStyle w:val="Heading2"/>
      </w:pPr>
      <w:r>
        <w:t>Zeitpunkt der fachlichen Rückmeldung</w:t>
      </w:r>
    </w:p>
    <w:p>
      <w:r>
        <w:t>V1.2 zeigt die Auswertung des Übungsmoduls nach Aufgabe 3 und die Auswertung jeder Lernstrecke nach deren Abschluss. Innerhalb der Lernstrecken 1 und 2 folgt somit keine Zwischenrückmeldung nach einem Teilabschnitt. Diese Unterscheidung präzisiert frühere Formulierungen zur „abschnittsweisen Auswertung“: Der technisch realisierte Auswertungsabschnitt ist hier die vollständige Lernstrecke.</w:t>
      </w:r>
    </w:p>
    <w:p>
      <w:r>
        <w:t>Die verzögerte Auflösung soll verhindern, dass eine unmittelbar eingeblendete richtige Lösung nachfolgende Entscheidungen bereits vorgibt. Gleichzeitig müssen Lernende bis zur Auswertung mit möglichen Fehlvorstellungen weiterarbeiten. Ob dieser Zeitpunkt für die Zielgruppe geeignet ist, sollte in der Pilotierung beobachtet werden. Er ist eine projektspezifische Abwägung und keine allgemeine Aussage, dass spätes Feedback stets besser sei.</w:t>
      </w:r>
    </w:p>
    <w:p>
      <w:pPr>
        <w:pStyle w:val="Heading2"/>
      </w:pPr>
      <w:r>
        <w:t>Fehlerkategorien als Hinweise</w:t>
      </w:r>
    </w:p>
    <w:p>
      <w:r>
        <w:t>Die Auswahlantworten der ersten beiden Lernstrecken sind Kategorien zugeordnet, etwa Reihenfolge der Atemwege, Richtung des Gasaustauschs, Lungenarterien und Lungenvenen sowie Herzklappen und Flussrichtung. Die Auswertung zählt auffällige Entscheidungen und formuliert passende Wiederholungshinweise. Diese regelbasierte Zuordnung ist eine einfache Lernhilfe; sie stellt keine gesicherte Diagnose einer individuellen Fehlvorstellung dar.</w:t>
      </w:r>
    </w:p>
    <w:p>
      <w:r>
        <w:t>Eine falsche Auswahl kann auf fehlendes Wissen, eine Verwechslung, ungenaues Lesen oder eine zufällige Entscheidung zurückgehen. Umgekehrt kann eine richtige Auswahl durch Raten entstehen. Die begrenzte Aufgabenanzahl rechtfertigt daher weder eine stabile Kompetenzklassifikation noch einen Vergleich zwischen Lernenden.</w:t>
      </w:r>
    </w:p>
    <w:p>
      <w:pPr>
        <w:pStyle w:val="Heading2"/>
      </w:pPr>
      <w:r>
        <w:t>Pragmatischer Umgang mit Tippfehlern</w:t>
      </w:r>
    </w:p>
    <w:p>
      <w:r>
        <w:t>Im Lückentext werden exakte normalisierte Treffer als korrekt gezählt. Bei hinreichend langen Eingaben wird eine geringe Zeichenabweichung separat als möglicher Tippfehler angezeigt. In der dokumentierten Implementierung gilt dies für Eingaben ab fünf Zeichen bei höchstens einer Einfügung, Löschung oder Ersetzung gegenüber einer hinterlegten Lösung. Buchstabendreher werden damit nicht in jedem Fall erkannt.</w:t>
      </w:r>
    </w:p>
    <w:p>
      <w:r>
        <w:t>Mögliche Tippfehler werden weder automatisch als korrekt noch vorschnell als fachlich falsch eingeordnet. Die vollständige Lösung erlaubt den eigenen Vergleich. Leer gelassene Lücken und andere Abweichungen werden ebenfalls sichtbar gemacht. Die Lehrkraft sollte bei der Besprechung nach dem gemeinten Begriff fragen, statt aus der Schreibweise unmittelbar auf Verständnis zu schließen.</w:t>
      </w:r>
    </w:p>
    <w:p>
      <w:pPr>
        <w:pStyle w:val="Heading2"/>
      </w:pPr>
      <w:r>
        <w:t>Lernnotizen und Auflösung zusammenführen</w:t>
      </w:r>
    </w:p>
    <w:p>
      <w:r>
        <w:t>Lernnotizen entstehen im aktuellen Ablauf bereits vor der Schlussauswertung. Danach können sie ergänzt werden. Die Lernschleife lautet im tatsächlichen Bedienablauf deshalb genauer: Situation lesen, Antwort wählen, erste Notiz formulieren, weitere Aufgaben bearbeiten, Rückmeldung vergleichen und Notiz überarbeiten. Dieser Ablauf sollte bei der Einführung ausdrücklich erklärt werden.</w:t>
      </w:r>
    </w:p>
    <w:p>
      <w:r>
        <w:br w:type="page"/>
      </w:r>
    </w:p>
    <w:p>
      <w:pPr>
        <w:pStyle w:val="Heading1"/>
      </w:pPr>
      <w:r>
        <w:t>7 Einsatz im Unterricht und Rolle der Lehrkräfte</w:t>
      </w:r>
    </w:p>
    <w:p>
      <w:pPr>
        <w:pStyle w:val="Heading2"/>
      </w:pPr>
      <w:r>
        <w:t>Vor der Selbstlernphase</w:t>
      </w:r>
    </w:p>
    <w:p>
      <w:r>
        <w:t>Die Lehrkraft klärt, welches Vorwissen vorausgesetzt wird und welche Funktion das Angebot hat. Für die Familiarisierung steht das Kennenlernen der Arbeitsweise im Vordergrund. Die Vertiefung dient der Wiederholung bereits behandelter Inhalte. Die Teilnahme an der freiwilligen Vertiefung darf ohne anderslautende schulische Vereinbarung nicht stillschweigend als Voraussetzung für den Abschluss des Übungsmoduls behandelt werden.</w:t>
      </w:r>
    </w:p>
    <w:p>
      <w:r>
        <w:t>Lernende benötigen eine kurze Erklärung zu Rückmeldezeitpunkt und Speicherung. Da die Notizen nicht dauerhaft gesichert werden, sollten wichtige Erkenntnisse vor dem Verlassen der Seite in die eigene Lernsammlung übernommen werden. Eine realistische Bearbeitungszeit ist zunächst in der Pilotierung zu erheben; für V1.2 liegt keine belastbare Zeitmessung vor.</w:t>
      </w:r>
    </w:p>
    <w:p>
      <w:pPr>
        <w:pStyle w:val="Heading2"/>
      </w:pPr>
      <w:r>
        <w:t>Während der Bearbeitung</w:t>
      </w:r>
    </w:p>
    <w:p>
      <w:r>
        <w:t>Lehrkräfte können beobachten, ob Lernende den Start finden, die Aufgabenreihenfolge verstehen und den Unterschied zwischen Antwortwahl und bestätigtem Weitergehen erkennen. Unterstützungsbedarf kann fachliche, sprachliche oder technische Ursachen haben. Diese Ursachen sollten getrennt erfasst werden, damit etwa ein Bedienproblem nicht als fachliche Unsicherheit interpretiert wird.</w:t>
      </w:r>
    </w:p>
    <w:p>
      <w:r>
        <w:t>Bei der ersten Erprobung bietet sich eine kleine, begleitete Lerngruppe an. Kurze Rückfragen zum Verständnis der Arbeitsaufträge sind hilfreich. Die Lösungen sollten dabei nicht vorweggenommen werden. Für Lernende mit erhöhtem sprachlichem Unterstützungsbedarf kann eine gemeinsame Nachbesprechung der gemeinten Begriffe sinnvoll sein; die automatische Zeichenprüfung ersetzt diese Klärung nicht.</w:t>
      </w:r>
    </w:p>
    <w:p>
      <w:pPr>
        <w:pStyle w:val="Heading2"/>
      </w:pPr>
      <w:r>
        <w:t>Im anschließenden Präsenzunterricht</w:t>
      </w:r>
    </w:p>
    <w:p>
      <w:r>
        <w:t>Die Lehrkraft greift ausgewählte Fragen und Unsicherheiten auf, statt alle Aufgaben vollständig erneut vorzutragen. Ein möglicher Einstieg ist die freiwillige Frage, an welcher Stelle die eigene Vorstellung vom Blutfluss oder vom Gasaustausch noch unsicher war. Danach kann ein gemeinsam entwickeltes Ablaufbild helfen, die Verbindungen zwischen Atemwegen, Lunge, Herz und Körpergewebe zu rekonstruieren.</w:t>
      </w:r>
    </w:p>
    <w:p>
      <w:r>
        <w:t>Die Fälle bieten außerdem Anlass, Beobachtung und Schlussfolgerung sprachlich zu unterscheiden. Lernende können erläutern, welche Befunde tatsächlich beschrieben sind und welche weitergehende Aussage daraus nicht sicher folgt. Die anschließende praktische Übung muss separat angeleitet und anhand passender Kriterien beobachtet werden.</w:t>
      </w:r>
    </w:p>
    <w:p>
      <w:pPr>
        <w:pStyle w:val="Heading2"/>
      </w:pPr>
      <w:r>
        <w:t>Keine automatische Rückmeldung an die Lehrkraft</w:t>
      </w:r>
    </w:p>
    <w:p>
      <w:r>
        <w:t>V1.2 stellt keine Lehrkräfteübersicht bereit. Antworten, Fehlerkategorien und Lernnotizen werden nicht zentral gesammelt. Die Verbindung zum Präsenzunterricht entsteht derzeit durch die aktive Mitwirkung der Lernenden und die Unterrichtsgestaltung. Eine automatische Gruppenstatistik ist lediglich eine mögliche spätere Erweiterung und würde ein eigenes fachliches, technisches und organisatorisches Konzept benötigen.</w:t>
      </w:r>
    </w:p>
    <w:p>
      <w:r>
        <w:br w:type="page"/>
      </w:r>
    </w:p>
    <w:p>
      <w:pPr>
        <w:pStyle w:val="Heading1"/>
      </w:pPr>
      <w:r>
        <w:t>8 Technischer Stand und Qualitätssicherung</w:t>
      </w:r>
    </w:p>
    <w:p>
      <w:pPr>
        <w:pStyle w:val="Heading2"/>
      </w:pPr>
      <w:r>
        <w:t>Umgesetzter Umfang</w:t>
      </w:r>
    </w:p>
    <w:p>
      <w:r>
        <w:t>Das Paket besteht aus drei verlinkten HTML-Seiten und gemeinsam genutzten Gestaltungs- beziehungsweise Funktionsdateien. Es ist als statisches Angebot ohne eigenes Backend angelegt. Antworten und Notizen werden im Arbeitsspeicher der jeweils geöffneten Seite verarbeitet. Eine Anmeldung, Teilnehmerkennung, Datenbank, automatische Serverübertragung der Antworten oder dauerhafte Antwortspeicherung ist nicht Bestandteil von V1.2.</w:t>
      </w:r>
    </w:p>
    <w:tbl>
      <w:tblPr>
        <w:tblW w:type="auto" w:w="0"/>
        <w:tblLayout w:type="fixed"/>
        <w:tblLook w:firstColumn="1" w:firstRow="1" w:lastColumn="0" w:lastRow="0" w:noHBand="0" w:noVBand="1" w:val="04A0"/>
      </w:tblPr>
      <w:tblGrid>
        <w:gridCol w:w="2381"/>
        <w:gridCol w:w="7030"/>
      </w:tblGrid>
      <w:tr>
        <w:trPr>
          <w:cantSplit/>
          <w:tblHeader/>
        </w:trPr>
        <w:tc>
          <w:tcPr>
            <w:tcW w:type="dxa" w:w="2381"/>
            <w:tcBorders>
              <w:top w:val="single" w:sz="4" w:color="D9D9D9"/>
              <w:left w:val="single" w:sz="4" w:color="D9D9D9"/>
              <w:bottom w:val="single" w:sz="4" w:color="D9D9D9"/>
              <w:right w:val="single" w:sz="4" w:color="D9D9D9"/>
            </w:tcBorders>
            <w:shd w:fill="DCE6EC"/>
            <w:tcMar>
              <w:top w:w="100" w:type="dxa"/>
              <w:left w:w="100" w:type="dxa"/>
              <w:bottom w:w="100" w:type="dxa"/>
              <w:right w:w="100" w:type="dxa"/>
            </w:tcMar>
          </w:tcPr>
          <w:p>
            <w:pPr>
              <w:spacing w:after="60" w:line="252" w:lineRule="auto"/>
            </w:pPr>
            <w:r>
              <w:rPr>
                <w:b/>
                <w:sz w:val="20"/>
              </w:rPr>
              <w:t>Prüfbereich</w:t>
            </w:r>
          </w:p>
        </w:tc>
        <w:tc>
          <w:tcPr>
            <w:tcW w:type="dxa" w:w="7030"/>
            <w:tcBorders>
              <w:top w:val="single" w:sz="4" w:color="D9D9D9"/>
              <w:left w:val="single" w:sz="4" w:color="D9D9D9"/>
              <w:bottom w:val="single" w:sz="4" w:color="D9D9D9"/>
              <w:right w:val="single" w:sz="4" w:color="D9D9D9"/>
            </w:tcBorders>
            <w:shd w:fill="DCE6EC"/>
            <w:tcMar>
              <w:top w:w="100" w:type="dxa"/>
              <w:left w:w="100" w:type="dxa"/>
              <w:bottom w:w="100" w:type="dxa"/>
              <w:right w:w="100" w:type="dxa"/>
            </w:tcMar>
          </w:tcPr>
          <w:p>
            <w:pPr>
              <w:spacing w:after="60" w:line="252" w:lineRule="auto"/>
            </w:pPr>
            <w:r>
              <w:rPr>
                <w:b/>
                <w:sz w:val="20"/>
              </w:rPr>
              <w:t>Dokumentierter Stand am 06 10 2026</w:t>
            </w:r>
          </w:p>
        </w:tc>
      </w:tr>
      <w:tr>
        <w:trPr>
          <w:cantSplit/>
        </w:trPr>
        <w:tc>
          <w:tcPr>
            <w:tcW w:type="dxa" w:w="2381"/>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Versionsangaben und Verweise</w:t>
            </w:r>
          </w:p>
        </w:tc>
        <w:tc>
          <w:tcPr>
            <w:tcW w:type="dxa" w:w="7030"/>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Versionsbezug V1.2, Datum, lokale Dateiverweise und eindeutige HTML-Kennungen wurden geprüft.</w:t>
            </w:r>
          </w:p>
        </w:tc>
      </w:tr>
      <w:tr>
        <w:trPr>
          <w:cantSplit/>
        </w:trPr>
        <w:tc>
          <w:tcPr>
            <w:tcW w:type="dxa" w:w="2381"/>
            <w:tcBorders>
              <w:top w:val="single" w:sz="4" w:color="D9D9D9"/>
              <w:left w:val="single" w:sz="4" w:color="D9D9D9"/>
              <w:bottom w:val="single" w:sz="4" w:color="D9D9D9"/>
              <w:right w:val="single" w:sz="4" w:color="D9D9D9"/>
            </w:tcBorders>
            <w:shd w:fill="F5F7F8"/>
            <w:tcMar>
              <w:top w:w="100" w:type="dxa"/>
              <w:left w:w="100" w:type="dxa"/>
              <w:bottom w:w="100" w:type="dxa"/>
              <w:right w:w="100" w:type="dxa"/>
            </w:tcMar>
          </w:tcPr>
          <w:p>
            <w:pPr>
              <w:spacing w:after="60" w:line="252" w:lineRule="auto"/>
            </w:pPr>
            <w:r>
              <w:rPr>
                <w:b w:val="0"/>
                <w:sz w:val="20"/>
              </w:rPr>
              <w:t>JavaScript</w:t>
            </w:r>
          </w:p>
        </w:tc>
        <w:tc>
          <w:tcPr>
            <w:tcW w:type="dxa" w:w="7030"/>
            <w:tcBorders>
              <w:top w:val="single" w:sz="4" w:color="D9D9D9"/>
              <w:left w:val="single" w:sz="4" w:color="D9D9D9"/>
              <w:bottom w:val="single" w:sz="4" w:color="D9D9D9"/>
              <w:right w:val="single" w:sz="4" w:color="D9D9D9"/>
            </w:tcBorders>
            <w:shd w:fill="F5F7F8"/>
            <w:tcMar>
              <w:top w:w="100" w:type="dxa"/>
              <w:left w:w="100" w:type="dxa"/>
              <w:bottom w:w="100" w:type="dxa"/>
              <w:right w:w="100" w:type="dxa"/>
            </w:tcMar>
          </w:tcPr>
          <w:p>
            <w:pPr>
              <w:spacing w:after="60" w:line="252" w:lineRule="auto"/>
            </w:pPr>
            <w:r>
              <w:rPr>
                <w:b w:val="0"/>
                <w:sz w:val="20"/>
              </w:rPr>
              <w:t>Syntax der Funktionsdateien wurde geprüft. Ein bestandener Syntaxcheck belegt noch keinen vollständigen korrekten Bedienablauf.</w:t>
            </w:r>
          </w:p>
        </w:tc>
      </w:tr>
      <w:tr>
        <w:trPr>
          <w:cantSplit/>
        </w:trPr>
        <w:tc>
          <w:tcPr>
            <w:tcW w:type="dxa" w:w="2381"/>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Begriffsprüfung</w:t>
            </w:r>
          </w:p>
        </w:tc>
        <w:tc>
          <w:tcPr>
            <w:tcW w:type="dxa" w:w="7030"/>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Fünf gezielte Fälle wurden geprüft: normalisierter Treffer, möglicher Tippfehler, Gefäßverwechslung, leere Eingabe und nicht zugelassene Formelabkürzung.</w:t>
            </w:r>
          </w:p>
        </w:tc>
      </w:tr>
      <w:tr>
        <w:trPr>
          <w:cantSplit/>
        </w:trPr>
        <w:tc>
          <w:tcPr>
            <w:tcW w:type="dxa" w:w="2381"/>
            <w:tcBorders>
              <w:top w:val="single" w:sz="4" w:color="D9D9D9"/>
              <w:left w:val="single" w:sz="4" w:color="D9D9D9"/>
              <w:bottom w:val="single" w:sz="4" w:color="D9D9D9"/>
              <w:right w:val="single" w:sz="4" w:color="D9D9D9"/>
            </w:tcBorders>
            <w:shd w:fill="F5F7F8"/>
            <w:tcMar>
              <w:top w:w="100" w:type="dxa"/>
              <w:left w:w="100" w:type="dxa"/>
              <w:bottom w:w="100" w:type="dxa"/>
              <w:right w:w="100" w:type="dxa"/>
            </w:tcMar>
          </w:tcPr>
          <w:p>
            <w:pPr>
              <w:spacing w:after="60" w:line="252" w:lineRule="auto"/>
            </w:pPr>
            <w:r>
              <w:rPr>
                <w:b w:val="0"/>
                <w:sz w:val="20"/>
              </w:rPr>
              <w:t>Vollständiger Bedienablauf</w:t>
            </w:r>
          </w:p>
        </w:tc>
        <w:tc>
          <w:tcPr>
            <w:tcW w:type="dxa" w:w="7030"/>
            <w:tcBorders>
              <w:top w:val="single" w:sz="4" w:color="D9D9D9"/>
              <w:left w:val="single" w:sz="4" w:color="D9D9D9"/>
              <w:bottom w:val="single" w:sz="4" w:color="D9D9D9"/>
              <w:right w:val="single" w:sz="4" w:color="D9D9D9"/>
            </w:tcBorders>
            <w:shd w:fill="F5F7F8"/>
            <w:tcMar>
              <w:top w:w="100" w:type="dxa"/>
              <w:left w:w="100" w:type="dxa"/>
              <w:bottom w:w="100" w:type="dxa"/>
              <w:right w:w="100" w:type="dxa"/>
            </w:tcMar>
          </w:tcPr>
          <w:p>
            <w:pPr>
              <w:spacing w:after="60" w:line="252" w:lineRule="auto"/>
            </w:pPr>
            <w:r>
              <w:rPr>
                <w:b w:val="0"/>
                <w:sz w:val="20"/>
              </w:rPr>
              <w:t>Nicht vollständig geprüft. Automatisierter Browserstart und lokale Vorschau waren in der Arbeitsumgebung blockiert.</w:t>
            </w:r>
          </w:p>
        </w:tc>
      </w:tr>
      <w:tr>
        <w:trPr>
          <w:cantSplit/>
        </w:trPr>
        <w:tc>
          <w:tcPr>
            <w:tcW w:type="dxa" w:w="2381"/>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Mobile Darstellung und Zugänglichkeit</w:t>
            </w:r>
          </w:p>
        </w:tc>
        <w:tc>
          <w:tcPr>
            <w:tcW w:type="dxa" w:w="7030"/>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Responsive Gestaltung, Feldbeschriftungen und Fokusmarkierungen sind angelegt; praktische Prüfung auf Endgeräten und mit assistiven Technologien steht aus.</w:t>
            </w:r>
          </w:p>
        </w:tc>
      </w:tr>
      <w:tr>
        <w:trPr>
          <w:cantSplit/>
        </w:trPr>
        <w:tc>
          <w:tcPr>
            <w:tcW w:type="dxa" w:w="2381"/>
            <w:tcBorders>
              <w:top w:val="single" w:sz="4" w:color="D9D9D9"/>
              <w:left w:val="single" w:sz="4" w:color="D9D9D9"/>
              <w:bottom w:val="single" w:sz="4" w:color="D9D9D9"/>
              <w:right w:val="single" w:sz="4" w:color="D9D9D9"/>
            </w:tcBorders>
            <w:shd w:fill="F5F7F8"/>
            <w:tcMar>
              <w:top w:w="100" w:type="dxa"/>
              <w:left w:w="100" w:type="dxa"/>
              <w:bottom w:w="100" w:type="dxa"/>
              <w:right w:w="100" w:type="dxa"/>
            </w:tcMar>
          </w:tcPr>
          <w:p>
            <w:pPr>
              <w:spacing w:after="60" w:line="252" w:lineRule="auto"/>
            </w:pPr>
            <w:r>
              <w:rPr>
                <w:b w:val="0"/>
                <w:sz w:val="20"/>
              </w:rPr>
              <w:t>Veröffentlichung</w:t>
            </w:r>
          </w:p>
        </w:tc>
        <w:tc>
          <w:tcPr>
            <w:tcW w:type="dxa" w:w="7030"/>
            <w:tcBorders>
              <w:top w:val="single" w:sz="4" w:color="D9D9D9"/>
              <w:left w:val="single" w:sz="4" w:color="D9D9D9"/>
              <w:bottom w:val="single" w:sz="4" w:color="D9D9D9"/>
              <w:right w:val="single" w:sz="4" w:color="D9D9D9"/>
            </w:tcBorders>
            <w:shd w:fill="F5F7F8"/>
            <w:tcMar>
              <w:top w:w="100" w:type="dxa"/>
              <w:left w:w="100" w:type="dxa"/>
              <w:bottom w:w="100" w:type="dxa"/>
              <w:right w:w="100" w:type="dxa"/>
            </w:tcMar>
          </w:tcPr>
          <w:p>
            <w:pPr>
              <w:spacing w:after="60" w:line="252" w:lineRule="auto"/>
            </w:pPr>
            <w:r>
              <w:rPr>
                <w:b w:val="0"/>
                <w:sz w:val="20"/>
              </w:rPr>
              <w:t>Integration in den aktuellen Gesamtstand der Ausbildungsseite und neuer Netlify-Deploy stehen aus.</w:t>
            </w:r>
          </w:p>
        </w:tc>
      </w:tr>
    </w:tbl>
    <w:p>
      <w:pPr>
        <w:pStyle w:val="Heading2"/>
      </w:pPr>
      <w:r>
        <w:t>Datensparsamkeit präzise beschreiben</w:t>
      </w:r>
    </w:p>
    <w:p>
      <w:r>
        <w:t>Die interne Verarbeitung ohne Teilnehmerkennung ist eine bewusste Begrenzung des Demonstrators. Sie bedeutet zugleich, dass keine verlässliche Wiederaufnahme nach einem Seitenwechsel zugesichert werden kann. Browser können bei einer Rücknavigation Zustände unterschiedlich wiederherstellen; darauf sollte sich die Unterrichtsorganisation nicht verlassen.</w:t>
      </w:r>
    </w:p>
    <w:p>
      <w:r>
        <w:t>Die Aussage „keine Serverübertragung“ bezieht sich auf Antworten und Lernnotizen im Modul. Bei der späteren Bereitstellung über eine Website sind Hosting, Zugriffsdaten und eingebundene Dienste gesondert zu betrachten. Aus dem Verzicht auf Namensfelder lässt sich deshalb keine pauschale datenschutzrechtliche Freigabe der gesamten Ausbildungsseite ableiten.</w:t>
      </w:r>
    </w:p>
    <w:p>
      <w:pPr>
        <w:pStyle w:val="Heading2"/>
      </w:pPr>
      <w:r>
        <w:t>Fachliche Freigabe bleibt erforderlich</w:t>
      </w:r>
    </w:p>
    <w:p>
      <w:r>
        <w:t>Die bisherige Entwicklung ist kein dokumentierter schulischer Abnahmeprozess. Vor der Erprobung sollte eine benannte fachverantwortliche Person Aufgaben, Lösungen, Begriffsvarianten und Rückmeldungen gegen die verwendeten Unterrichtsmaterialien prüfen. Das Protokoll dokumentiert den Entwicklungsstand; es bescheinigt keine abgeschlossene fachliche oder rechtliche Freigabe.</w:t>
      </w:r>
    </w:p>
    <w:p>
      <w:r>
        <w:br w:type="page"/>
      </w:r>
    </w:p>
    <w:p>
      <w:pPr>
        <w:pStyle w:val="Heading1"/>
      </w:pPr>
      <w:r>
        <w:t>9 Nächste Entwicklungsschritte und Freigabekriterien</w:t>
      </w:r>
    </w:p>
    <w:p>
      <w:pPr>
        <w:pStyle w:val="Heading2"/>
      </w:pPr>
      <w:r>
        <w:t>Integration in die Ausbildungsseite</w:t>
      </w:r>
    </w:p>
    <w:p>
      <w:r>
        <w:t>Für die Veröffentlichung ist der aktuelle vollständige Stand der Ausbildungsseite erforderlich. V1.2 soll in einen eigenen Unterordner eingebunden und vom vorhandenen Einstieg aus verlinkt werden. Ein Rückweg zur Ausbildungsseite ist zu ergänzen. Diese Integration ist eine Aktualisierung der bestehenden Website; ein neues Netlify-Projekt oder eine neue Internetadresse ist dafür nicht grundsätzlich erforderlich [4].</w:t>
      </w:r>
    </w:p>
    <w:p>
      <w:r>
        <w:t>Bei einem manuellen Deploy muss das Veröffentlichungspaket den vollständigen benötigten Website-Stand enthalten. Das bisher erstellte Modul-ZIP ist lediglich ein Teilpaket. Vor dem Austausch sind der bisherige Gesamtstand und die zuletzt veröffentlichte Fassung nachvollziehbar zu sichern. Eine Änderung der Modulversion allein darf zwischenzeitliche Änderungen anderer Seiten nicht überschreiben.</w:t>
      </w:r>
    </w:p>
    <w:p>
      <w:pPr>
        <w:pStyle w:val="Heading2"/>
      </w:pPr>
      <w:r>
        <w:t>Prüfreihenfolge vor der Veröffentlichung</w:t>
      </w:r>
    </w:p>
    <w:tbl>
      <w:tblPr>
        <w:tblW w:type="auto" w:w="0"/>
        <w:tblLayout w:type="fixed"/>
        <w:tblLook w:firstColumn="1" w:firstRow="1" w:lastColumn="0" w:lastRow="0" w:noHBand="0" w:noVBand="1" w:val="04A0"/>
      </w:tblPr>
      <w:tblGrid>
        <w:gridCol w:w="2381"/>
        <w:gridCol w:w="7030"/>
      </w:tblGrid>
      <w:tr>
        <w:trPr>
          <w:cantSplit/>
          <w:tblHeader/>
        </w:trPr>
        <w:tc>
          <w:tcPr>
            <w:tcW w:type="dxa" w:w="2381"/>
            <w:tcBorders>
              <w:top w:val="single" w:sz="4" w:color="D9D9D9"/>
              <w:left w:val="single" w:sz="4" w:color="D9D9D9"/>
              <w:bottom w:val="single" w:sz="4" w:color="D9D9D9"/>
              <w:right w:val="single" w:sz="4" w:color="D9D9D9"/>
            </w:tcBorders>
            <w:shd w:fill="DCE6EC"/>
            <w:tcMar>
              <w:top w:w="100" w:type="dxa"/>
              <w:left w:w="100" w:type="dxa"/>
              <w:bottom w:w="100" w:type="dxa"/>
              <w:right w:w="100" w:type="dxa"/>
            </w:tcMar>
          </w:tcPr>
          <w:p>
            <w:pPr>
              <w:spacing w:after="60" w:line="252" w:lineRule="auto"/>
            </w:pPr>
            <w:r>
              <w:rPr>
                <w:b/>
                <w:sz w:val="20"/>
              </w:rPr>
              <w:t>Schritt</w:t>
            </w:r>
          </w:p>
        </w:tc>
        <w:tc>
          <w:tcPr>
            <w:tcW w:type="dxa" w:w="7030"/>
            <w:tcBorders>
              <w:top w:val="single" w:sz="4" w:color="D9D9D9"/>
              <w:left w:val="single" w:sz="4" w:color="D9D9D9"/>
              <w:bottom w:val="single" w:sz="4" w:color="D9D9D9"/>
              <w:right w:val="single" w:sz="4" w:color="D9D9D9"/>
            </w:tcBorders>
            <w:shd w:fill="DCE6EC"/>
            <w:tcMar>
              <w:top w:w="100" w:type="dxa"/>
              <w:left w:w="100" w:type="dxa"/>
              <w:bottom w:w="100" w:type="dxa"/>
              <w:right w:w="100" w:type="dxa"/>
            </w:tcMar>
          </w:tcPr>
          <w:p>
            <w:pPr>
              <w:spacing w:after="60" w:line="252" w:lineRule="auto"/>
            </w:pPr>
            <w:r>
              <w:rPr>
                <w:b/>
                <w:sz w:val="20"/>
              </w:rPr>
              <w:t>Freigabekriterium</w:t>
            </w:r>
          </w:p>
        </w:tc>
      </w:tr>
      <w:tr>
        <w:trPr>
          <w:cantSplit/>
        </w:trPr>
        <w:tc>
          <w:tcPr>
            <w:tcW w:type="dxa" w:w="2381"/>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1 Fachliche Durchsicht</w:t>
            </w:r>
          </w:p>
        </w:tc>
        <w:tc>
          <w:tcPr>
            <w:tcW w:type="dxa" w:w="7030"/>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Fragen, Lösungen, Bezeichnungen und Rückmeldungen sind durch die zuständige Lehrkraft geprüft; unklare Lücken sind überarbeitet.</w:t>
            </w:r>
          </w:p>
        </w:tc>
      </w:tr>
      <w:tr>
        <w:trPr>
          <w:cantSplit/>
        </w:trPr>
        <w:tc>
          <w:tcPr>
            <w:tcW w:type="dxa" w:w="2381"/>
            <w:tcBorders>
              <w:top w:val="single" w:sz="4" w:color="D9D9D9"/>
              <w:left w:val="single" w:sz="4" w:color="D9D9D9"/>
              <w:bottom w:val="single" w:sz="4" w:color="D9D9D9"/>
              <w:right w:val="single" w:sz="4" w:color="D9D9D9"/>
            </w:tcBorders>
            <w:shd w:fill="F5F7F8"/>
            <w:tcMar>
              <w:top w:w="100" w:type="dxa"/>
              <w:left w:w="100" w:type="dxa"/>
              <w:bottom w:w="100" w:type="dxa"/>
              <w:right w:w="100" w:type="dxa"/>
            </w:tcMar>
          </w:tcPr>
          <w:p>
            <w:pPr>
              <w:spacing w:after="60" w:line="252" w:lineRule="auto"/>
            </w:pPr>
            <w:r>
              <w:rPr>
                <w:b w:val="0"/>
                <w:sz w:val="20"/>
              </w:rPr>
              <w:t>2 Vollständiger Funktionstest</w:t>
            </w:r>
          </w:p>
        </w:tc>
        <w:tc>
          <w:tcPr>
            <w:tcW w:type="dxa" w:w="7030"/>
            <w:tcBorders>
              <w:top w:val="single" w:sz="4" w:color="D9D9D9"/>
              <w:left w:val="single" w:sz="4" w:color="D9D9D9"/>
              <w:bottom w:val="single" w:sz="4" w:color="D9D9D9"/>
              <w:right w:val="single" w:sz="4" w:color="D9D9D9"/>
            </w:tcBorders>
            <w:shd w:fill="F5F7F8"/>
            <w:tcMar>
              <w:top w:w="100" w:type="dxa"/>
              <w:left w:w="100" w:type="dxa"/>
              <w:bottom w:w="100" w:type="dxa"/>
              <w:right w:w="100" w:type="dxa"/>
            </w:tcMar>
          </w:tcPr>
          <w:p>
            <w:pPr>
              <w:spacing w:after="60" w:line="252" w:lineRule="auto"/>
            </w:pPr>
            <w:r>
              <w:rPr>
                <w:b w:val="0"/>
                <w:sz w:val="20"/>
              </w:rPr>
              <w:t>Alle drei Seiten, Aufgabenfreigaben, Abschlüsse, Lernstrecken und Rückwege sind vollständig durchgespielt; auch falsche und leere Eingaben wurden geprüft.</w:t>
            </w:r>
          </w:p>
        </w:tc>
      </w:tr>
      <w:tr>
        <w:trPr>
          <w:cantSplit/>
        </w:trPr>
        <w:tc>
          <w:tcPr>
            <w:tcW w:type="dxa" w:w="2381"/>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r>
              <w:t>3 Darstellung</w:t>
              <w:br/>
              <w:t>und Bedienbarkeit</w:t>
            </w:r>
          </w:p>
        </w:tc>
        <w:tc>
          <w:tcPr>
            <w:tcW w:type="dxa" w:w="7030"/>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Smartphone und Desktop zeigen keine abgeschnittenen Inhalte; Tastaturbedienung, sichtbarer Fokus und verständliche Feldbeschriftungen sind geprüft.</w:t>
            </w:r>
          </w:p>
        </w:tc>
      </w:tr>
      <w:tr>
        <w:trPr>
          <w:cantSplit/>
        </w:trPr>
        <w:tc>
          <w:tcPr>
            <w:tcW w:type="dxa" w:w="2381"/>
            <w:tcBorders>
              <w:top w:val="single" w:sz="4" w:color="D9D9D9"/>
              <w:left w:val="single" w:sz="4" w:color="D9D9D9"/>
              <w:bottom w:val="single" w:sz="4" w:color="D9D9D9"/>
              <w:right w:val="single" w:sz="4" w:color="D9D9D9"/>
            </w:tcBorders>
            <w:shd w:fill="F5F7F8"/>
            <w:tcMar>
              <w:top w:w="100" w:type="dxa"/>
              <w:left w:w="100" w:type="dxa"/>
              <w:bottom w:w="100" w:type="dxa"/>
              <w:right w:w="100" w:type="dxa"/>
            </w:tcMar>
          </w:tcPr>
          <w:p>
            <w:pPr>
              <w:spacing w:after="60" w:line="252" w:lineRule="auto"/>
            </w:pPr>
            <w:r>
              <w:rPr>
                <w:b w:val="0"/>
                <w:sz w:val="20"/>
              </w:rPr>
              <w:t>4 Begleitete Pilotierung</w:t>
            </w:r>
          </w:p>
        </w:tc>
        <w:tc>
          <w:tcPr>
            <w:tcW w:type="dxa" w:w="7030"/>
            <w:tcBorders>
              <w:top w:val="single" w:sz="4" w:color="D9D9D9"/>
              <w:left w:val="single" w:sz="4" w:color="D9D9D9"/>
              <w:bottom w:val="single" w:sz="4" w:color="D9D9D9"/>
              <w:right w:val="single" w:sz="4" w:color="D9D9D9"/>
            </w:tcBorders>
            <w:shd w:fill="F5F7F8"/>
            <w:tcMar>
              <w:top w:w="100" w:type="dxa"/>
              <w:left w:w="100" w:type="dxa"/>
              <w:bottom w:w="100" w:type="dxa"/>
              <w:right w:w="100" w:type="dxa"/>
            </w:tcMar>
          </w:tcPr>
          <w:p>
            <w:pPr>
              <w:spacing w:after="60" w:line="252" w:lineRule="auto"/>
            </w:pPr>
            <w:r>
              <w:rPr>
                <w:b w:val="0"/>
                <w:sz w:val="20"/>
              </w:rPr>
              <w:t>Lernende verstehen Ablauf und Rückmeldungen; technische, sprachliche und fachliche Schwierigkeiten werden getrennt dokumentiert.</w:t>
            </w:r>
          </w:p>
        </w:tc>
      </w:tr>
      <w:tr>
        <w:trPr>
          <w:cantSplit/>
        </w:trPr>
        <w:tc>
          <w:tcPr>
            <w:tcW w:type="dxa" w:w="2381"/>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5 Veröffentlichung</w:t>
            </w:r>
          </w:p>
        </w:tc>
        <w:tc>
          <w:tcPr>
            <w:tcW w:type="dxa" w:w="7030"/>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Gesamtpaket und Links sind geprüft; die zuständige Person gibt die Veröffentlichung frei; anschließend erfolgt ein Kontrollgang auf der veröffentlichten Website.</w:t>
            </w:r>
          </w:p>
        </w:tc>
      </w:tr>
    </w:tbl>
    <w:p>
      <w:pPr>
        <w:pStyle w:val="Heading2"/>
      </w:pPr>
      <w:r>
        <w:t>Fragen für die Pilotierung</w:t>
      </w:r>
    </w:p>
    <w:p>
      <w:r>
        <w:t>Die Erprobung sollte erfassen, ob die Dreiteilung Orientierung schafft, ob der Abschluss des Übungsmoduls erkannt wird und ob die Freiwilligkeit der Vertiefung verständlich ist. Für die Auswertung sind besonders die Verständlichkeit der Hinweise, die Häufigkeit nicht erkannter Schreibvarianten und die Nutzung der Lernnotizen relevant. Die Bearbeitungsdauer ist je Teilangebot zu beobachten, ohne bereits einen Sollwert vorzugeben.</w:t>
      </w:r>
    </w:p>
    <w:p>
      <w:r>
        <w:t>Ein geeigneter nächster Entwicklungsentscheid entsteht aus diesen Beobachtungen: Rückmeldungen präzisieren, zulässige Begriffsvarianten ergänzen oder den Ablauf anpassen. Aussagen zu Lernwirksamkeit, Behalten oder Praxistransfer würden darüber hinaus eine gezielt geplante Evaluation erfordern. Eine positive Rückmeldung zur Bedienbarkeit allein belegt diese Wirkungen nicht.</w:t>
      </w:r>
    </w:p>
    <w:p>
      <w:r>
        <w:br w:type="page"/>
      </w:r>
    </w:p>
    <w:p>
      <w:pPr>
        <w:pStyle w:val="Heading1"/>
      </w:pPr>
      <w:r>
        <w:t>10 Quellen und Dokumentationsgrundlagen</w:t>
      </w:r>
    </w:p>
    <w:p>
      <w:pPr>
        <w:pStyle w:val="Heading2"/>
      </w:pPr>
      <w:r>
        <w:t>Projektbezogene Grundlagen</w:t>
      </w:r>
    </w:p>
    <w:p>
      <w:r>
        <w:t>P1  Entwicklungsgespräch „Konzept analysieren und optimieren“ und anschließende Bearbeitung zur dreiseitigen V1.2, dokumentierter Stand vom 06.10.2026. Daraus stammen Projektentscheidungen, Versionsverlauf und die Rückmeldung des Nutzers zur korrigierten V1.1.</w:t>
      </w:r>
    </w:p>
    <w:p>
      <w:r>
        <w:t>P2  HTML-Ausgangsdatei Blended_Learning_Rettungssanitaeter_Uebungsmodul_V1.1_2026-10-06.html mit Aufgaben, Lösungen, Autorenhinweisen und Dokumentkennung NSA-BL-RS-UEB-2026-10-V1.1.</w:t>
      </w:r>
    </w:p>
    <w:p>
      <w:r>
        <w:t>P3  Dokumentierter Erstellungs- und Prüfverlauf des Pakets Blended-Learning-V1.2_2026-10-06.zip. Maßgeblich sind die implementierte Seitenstruktur, die Antwort- und Auswertungslogik sowie die ausdrücklich benannten Grenzen der Browserprüfung.</w:t>
      </w:r>
    </w:p>
    <w:p>
      <w:pPr>
        <w:pStyle w:val="Heading2"/>
      </w:pPr>
      <w:r>
        <w:t>Pädagogische Literatur</w:t>
      </w:r>
    </w:p>
    <w:p>
      <w:r>
        <w:t>[1] Mayer, R. E., und Pilegard, C. (2014). Principles for Managing Essential Processing in Multimedia Learning: Segmenting, Pre-training, and Modality Principles. In R. E. Mayer (Hrsg.), The Cambridge Handbook of Multimedia Learning, 2. Auflage. Cambridge University Press.</w:t>
        <w:br/>
        <w:t>https://www.cambridge.org/core/books/abs/cambridge-handbook-of-multimedia-learning/principles-for-managing-essential-processing-in-multimedia-learning-segmenting-pretraining-and-modality-principles/DD24C2F48B9B1277CE59F78276110258</w:t>
      </w:r>
    </w:p>
    <w:p>
      <w:r>
        <w:t>[2] Agarwal, P. K., Nunes, L. D., und Blunt, J. R. (2021). Retrieval Practice Consistently Benefits Student Learning: A Systematic Review of Applied Research in Schools and Classrooms. Educational Psychology Review, 33, 1409–1453.</w:t>
        <w:br/>
        <w:t>https://doi.org/10.1007/s10648-021-09595-9</w:t>
      </w:r>
    </w:p>
    <w:p>
      <w:r>
        <w:t>[3] Nicol, D. J., und Macfarlane-Dick, D. (2006). Formative assessment and self-regulated learning: A model and seven principles of good feedback practice. Studies in Higher Education, 31(2), 199–218.</w:t>
        <w:br/>
        <w:t>https://doi.org/10.1080/03075070600572090</w:t>
      </w:r>
    </w:p>
    <w:p>
      <w:pPr>
        <w:pStyle w:val="Heading2"/>
      </w:pPr>
      <w:r>
        <w:t>Technische Referenz</w:t>
      </w:r>
    </w:p>
    <w:p>
      <w:r>
        <w:t>[4] Netlify Docs. Create deploys. Dokumentation zu manuellen und repositorygestützten Veröffentlichungen sowie zur Aktualisierung bestehender Websites. Abgerufen am 06.10.2026.</w:t>
        <w:br/>
        <w:t>https://docs.netlify.com/deploy/create-deploys/</w:t>
      </w:r>
    </w:p>
    <w:p>
      <w:pPr>
        <w:pStyle w:val="Heading2"/>
      </w:pPr>
      <w:r>
        <w:t>Einordnung der Belege</w:t>
      </w:r>
    </w:p>
    <w:p>
      <w:r>
        <w:t>Die Literatur begründet allgemeine didaktische Gestaltungsentscheidungen. Sie untersucht nicht die hier dokumentierte V1.2 und liefert keinen Wirksamkeitsnachweis speziell für diese Rettungssanitäter-Lernstrecken. Aussagen zum Projektstand beruhen auf der Entwicklungsdokumentation; die geplante Pilotierung und Veröffentlichung sind davon getrennt ausgewiesen.</w:t>
      </w:r>
    </w:p>
    <w:sectPr w:rsidR="00FC693F" w:rsidRPr="0006063C" w:rsidSect="00034616">
      <w:footerReference w:type="default" r:id="rId9"/>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Entwicklungsstand V1.2 · 06.10.2026 | Seite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40"/>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4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Calibri" w:hAnsi="Calibri"/>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Zwischenstand und Entwicklungsprotokoll zur Blended Learning Selbstlernphase</dc:title>
  <dc:subject>Rettungssanitäterqualifizierung • Entwicklungsstand V1.2 • 06.10.2026</dc:subject>
  <dc:creator>Sebastian Sachs</dc:creator>
  <cp:keywords/>
  <dc:description>generated by python-docx</dc:description>
  <cp:lastModifiedBy/>
  <cp:revision>1</cp:revision>
  <dcterms:created xsi:type="dcterms:W3CDTF">2013-12-23T23:15:00Z</dcterms:created>
  <dcterms:modified xsi:type="dcterms:W3CDTF">2013-12-23T23:15:00Z</dcterms:modified>
  <cp:category/>
</cp:coreProperties>
</file>